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6FCF" w14:textId="77777777" w:rsidR="002C48E3" w:rsidRDefault="00000000">
      <w:pPr>
        <w:pStyle w:val="Title"/>
      </w:pPr>
      <w:r>
        <w:t>تقرير مالي – شركة رؤية للاستشارات المالية</w:t>
      </w:r>
    </w:p>
    <w:p w14:paraId="6CB946A4" w14:textId="77777777" w:rsidR="002C48E3" w:rsidRDefault="00000000">
      <w:pPr>
        <w:pStyle w:val="Heading1"/>
      </w:pPr>
      <w:r>
        <w:t>أولاً: قائمة الدخل التفصيلية</w:t>
      </w:r>
    </w:p>
    <w:p w14:paraId="1AD7F7E4" w14:textId="77777777" w:rsidR="002C48E3" w:rsidRDefault="00000000">
      <w:r>
        <w:t>تتضمن قائمة الدخل عدد 100 عملية موزعة على 3 فئات رئيسية: الخدمات الاستشارية، إعداد الدراسات، والدورات التدريبية.</w:t>
      </w:r>
      <w:r>
        <w:br/>
        <w:t>بلغ متوسط الإيراد للعملية الواحدة حوالي 14,000 جنيه، بتكلفة تشغيل تتراوح بين 30% إلى 60%.</w:t>
      </w:r>
      <w:r>
        <w:br/>
        <w:t>تم تحقيق ربح إجمالي إجمالي قدره يقارب 950,000 جنيه خلال الفترة الممتدة من يناير إلى يونيو 2024.</w:t>
      </w:r>
      <w:r>
        <w:br/>
      </w:r>
    </w:p>
    <w:p w14:paraId="6A4DB879" w14:textId="77777777" w:rsidR="002C48E3" w:rsidRDefault="00000000">
      <w:pPr>
        <w:pStyle w:val="Heading1"/>
      </w:pPr>
      <w:r>
        <w:t>ثانياً: الميزانية العمومية</w:t>
      </w:r>
    </w:p>
    <w:p w14:paraId="42AAE135" w14:textId="77777777" w:rsidR="002C48E3" w:rsidRDefault="00000000">
      <w:r>
        <w:t>بلغ إجمالي الأصول 325,000 جنيه، وتتوزع على: نقدية بالصندوق، نقدية بالبنك، حسابات العملاء، معدات مكتبية، أثاث، ومصاريف مدفوعة مقدمًا.</w:t>
      </w:r>
      <w:r>
        <w:br/>
        <w:t>أما من ناحية الخصوم وحقوق الملكية، فقد بلغت الخصوم والالتزامات قصيرة الأجل 65,000 جنيه، بينما بلغ رأس المال والأرباح المحتجزة 215,000 جنيه، مما يجعل إجمالي الخصوم وحقوق الملكية متوازنًا مع إجمالي الأصول.</w:t>
      </w:r>
    </w:p>
    <w:p w14:paraId="308E93A2" w14:textId="77777777" w:rsidR="002C48E3" w:rsidRDefault="00000000">
      <w:pPr>
        <w:pStyle w:val="Heading1"/>
      </w:pPr>
      <w:r>
        <w:t>ملاحظات:</w:t>
      </w:r>
    </w:p>
    <w:p w14:paraId="68C27E79" w14:textId="5A2FD259" w:rsidR="002C48E3" w:rsidRDefault="002C48E3"/>
    <w:sectPr w:rsidR="002C48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3180653">
    <w:abstractNumId w:val="8"/>
  </w:num>
  <w:num w:numId="2" w16cid:durableId="1727332818">
    <w:abstractNumId w:val="6"/>
  </w:num>
  <w:num w:numId="3" w16cid:durableId="1178075789">
    <w:abstractNumId w:val="5"/>
  </w:num>
  <w:num w:numId="4" w16cid:durableId="1908950644">
    <w:abstractNumId w:val="4"/>
  </w:num>
  <w:num w:numId="5" w16cid:durableId="108933157">
    <w:abstractNumId w:val="7"/>
  </w:num>
  <w:num w:numId="6" w16cid:durableId="1348365060">
    <w:abstractNumId w:val="3"/>
  </w:num>
  <w:num w:numId="7" w16cid:durableId="374618804">
    <w:abstractNumId w:val="2"/>
  </w:num>
  <w:num w:numId="8" w16cid:durableId="398290887">
    <w:abstractNumId w:val="1"/>
  </w:num>
  <w:num w:numId="9" w16cid:durableId="159968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566D"/>
    <w:rsid w:val="002C48E3"/>
    <w:rsid w:val="00326F90"/>
    <w:rsid w:val="00AA1D8D"/>
    <w:rsid w:val="00B47730"/>
    <w:rsid w:val="00C13F5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4A11D"/>
  <w14:defaultImageDpi w14:val="300"/>
  <w15:docId w15:val="{6162509C-5481-48D4-9EE0-2EA6C292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631</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Mohamed Abdelhamid</cp:lastModifiedBy>
  <cp:revision>2</cp:revision>
  <dcterms:created xsi:type="dcterms:W3CDTF">2013-12-23T23:15:00Z</dcterms:created>
  <dcterms:modified xsi:type="dcterms:W3CDTF">2025-05-04T21:32:00Z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9d72ca1a-b91b-4bd1-99d7-4028cbcf27ef</vt:lpwstr>
  </property>
</Properties>
</file>