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Company Expense Policy</w:t>
      </w:r>
    </w:p>
    <w:p>
      <w:r>
        <w:br/>
        <w:t>This policy outlines the types of expenses eligible for reimbursement and the approval process for all company-related expenditures.</w:t>
        <w:br/>
      </w:r>
    </w:p>
    <w:p>
      <w:pPr>
        <w:pStyle w:val="Heading2"/>
      </w:pPr>
      <w:r>
        <w:t>1. General Guidelines</w:t>
      </w:r>
    </w:p>
    <w:p>
      <w:r>
        <w:br/>
        <w:t>- All expenses must be business-related and documented with receipts.</w:t>
        <w:br/>
        <w:t>- Employees must submit their expense reports within 14 days of incurring the expense.</w:t>
        <w:br/>
        <w:t>- Expenses without receipts will not be reimbursed unless approved by management.</w:t>
        <w:br/>
      </w:r>
    </w:p>
    <w:p>
      <w:pPr>
        <w:pStyle w:val="Heading2"/>
      </w:pPr>
      <w:r>
        <w:t>2. Allowed Expense Categories</w:t>
      </w:r>
    </w:p>
    <w:p>
      <w:r>
        <w:br/>
        <w:t>- Travel: airfare, taxi, mileage, and accommodation for business trips.</w:t>
        <w:br/>
        <w:t>- Meals: meals with clients or during business travel.</w:t>
        <w:br/>
        <w:t>- Office Supplies: items necessary for daily operations.</w:t>
        <w:br/>
        <w:t>- Training: registration fees for approved courses or events.</w:t>
        <w:br/>
        <w:t>- Software: subscriptions and licenses necessary for work.</w:t>
        <w:br/>
      </w:r>
    </w:p>
    <w:p>
      <w:pPr>
        <w:pStyle w:val="Heading2"/>
      </w:pPr>
      <w:r>
        <w:t>3. Approval Workflow</w:t>
      </w:r>
    </w:p>
    <w:p>
      <w:r>
        <w:br/>
        <w:t>- Expenses below $100 can be approved by direct managers.</w:t>
        <w:br/>
        <w:t>- Expenses above $100 require finance department approval.</w:t>
        <w:br/>
        <w:t>- Large purchases (over $500) need prior written approval from upper management.</w:t>
        <w:br/>
      </w:r>
    </w:p>
    <w:p>
      <w:pPr>
        <w:pStyle w:val="Heading2"/>
      </w:pPr>
      <w:r>
        <w:t>4. Reimbursement Process</w:t>
      </w:r>
    </w:p>
    <w:p>
      <w:r>
        <w:br/>
        <w:t>- Complete the expense form and attach all receipts.</w:t>
        <w:br/>
        <w:t>- Submit the form to your manager for initial review.</w:t>
        <w:br/>
        <w:t>- Approved forms will be forwarded to Finance for final processing.</w:t>
        <w:br/>
        <w:t>- Reimbursements are processed within 5-7 business days.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